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2115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8C56C1" w14:paraId="1B30C6FA" w14:textId="77777777" w:rsidTr="009241DF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140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8C56C1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2FC4E560" w:rsidR="00B30F97" w:rsidRPr="00657CFA" w:rsidRDefault="00ED7E7A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FA0627A" wp14:editId="36EEAA8D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2D2459C3" w:rsidR="00B30F97" w:rsidRPr="009944F5" w:rsidRDefault="00ED7E7A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5C8FD0BB" w:rsidR="00B30F97" w:rsidRPr="00B30F97" w:rsidRDefault="004C5E43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5E4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44784E8" wp14:editId="16C26C2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19EFE749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EA165E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ED7E7A">
              <w:rPr>
                <w:sz w:val="28"/>
                <w:szCs w:val="28"/>
                <w:lang w:val="ru-RU"/>
              </w:rPr>
              <w:t>28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</w:t>
            </w:r>
            <w:r w:rsidR="00ED7E7A">
              <w:rPr>
                <w:sz w:val="28"/>
                <w:szCs w:val="28"/>
                <w:lang w:val="ru-RU"/>
              </w:rPr>
              <w:t>мая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202</w:t>
            </w:r>
            <w:r w:rsidR="00ED7E7A">
              <w:rPr>
                <w:sz w:val="28"/>
                <w:szCs w:val="28"/>
                <w:lang w:val="ru-RU"/>
              </w:rPr>
              <w:t>5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8C56C1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8C56C1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1E340BE" w:rsidR="00B30F97" w:rsidRPr="00B30F97" w:rsidRDefault="00B30F97" w:rsidP="00EA165E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EA165E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B30F97" w:rsidRPr="008C56C1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E1C9BC2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745A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A16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EA165E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8C56C1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094FEE1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C56C1" w14:paraId="37B270F7" w14:textId="77777777" w:rsidTr="009241DF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140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54C72" w14:paraId="49DEEFC0" w14:textId="77777777" w:rsidTr="009241DF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140" w:type="dxa"/>
            <w:gridSpan w:val="6"/>
          </w:tcPr>
          <w:p w14:paraId="382E67ED" w14:textId="212CFF14" w:rsidR="009241DF" w:rsidRPr="009241DF" w:rsidRDefault="009241DF" w:rsidP="009241D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</w:t>
            </w:r>
            <w:r w:rsidRPr="009241DF">
              <w:rPr>
                <w:sz w:val="28"/>
                <w:szCs w:val="28"/>
                <w:lang w:val="ru-RU"/>
              </w:rPr>
              <w:t xml:space="preserve">Год </w:t>
            </w:r>
            <w:r>
              <w:rPr>
                <w:sz w:val="28"/>
                <w:szCs w:val="28"/>
                <w:lang w:val="ru-RU"/>
              </w:rPr>
              <w:t xml:space="preserve">начала подготовки: </w:t>
            </w:r>
            <w:r w:rsidRPr="009241DF">
              <w:rPr>
                <w:sz w:val="28"/>
                <w:szCs w:val="28"/>
                <w:lang w:val="ru-RU"/>
              </w:rPr>
              <w:t>202</w:t>
            </w:r>
            <w:r w:rsidR="008C56C1">
              <w:rPr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</w:p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9241DF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13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09DC600D" w14:textId="77777777" w:rsidR="00B30F97" w:rsidRDefault="00B30F97">
            <w:pPr>
              <w:rPr>
                <w:lang w:val="ru-RU"/>
              </w:rPr>
            </w:pPr>
          </w:p>
          <w:p w14:paraId="665D84B3" w14:textId="77777777" w:rsidR="00B30F97" w:rsidRDefault="00B30F97">
            <w:pPr>
              <w:rPr>
                <w:lang w:val="ru-RU"/>
              </w:rPr>
            </w:pPr>
          </w:p>
          <w:p w14:paraId="2CB8A6CA" w14:textId="77777777" w:rsidR="00B30F97" w:rsidRDefault="00B30F97">
            <w:pPr>
              <w:rPr>
                <w:lang w:val="ru-RU"/>
              </w:rPr>
            </w:pPr>
          </w:p>
          <w:p w14:paraId="42E34C1B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F9E038E" w:rsidR="00E908A4" w:rsidRPr="00DB6DCB" w:rsidRDefault="00E908A4" w:rsidP="00ED7E7A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9241DF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739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8C56C1" w14:paraId="2952CD04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C56C1" w14:paraId="327669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77777777" w:rsidR="00E908A4" w:rsidRPr="00927A89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</w:t>
                  </w:r>
                  <w:r w:rsidR="003070CC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Бухгалтерский учет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1101C3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риказом Минобрнауки Росси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 w:rsidRPr="00927A89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11638873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3F370BCD" w14:textId="77777777" w:rsidTr="009241DF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8C56C1" w14:paraId="50BD9B6A" w14:textId="77777777" w:rsidTr="009241DF">
        <w:trPr>
          <w:gridAfter w:val="1"/>
          <w:wAfter w:w="6" w:type="dxa"/>
          <w:trHeight w:val="425"/>
        </w:trPr>
        <w:tc>
          <w:tcPr>
            <w:tcW w:w="11963" w:type="dxa"/>
            <w:gridSpan w:val="2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F912D1" w:rsidRPr="00927A89" w14:paraId="6B7C80E8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CC8E51" w14:textId="77777777" w:rsidR="00F912D1" w:rsidRPr="00F912D1" w:rsidRDefault="00F912D1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F912D1" w:rsidRPr="008C56C1" w14:paraId="5DB60A20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6A2910" w14:textId="77777777" w:rsidR="00F912D1" w:rsidRPr="00927A89" w:rsidRDefault="00F912D1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Е.Ю. Надточина, старший преподаватель кафедры бухгалтерского учета, анализа и аудита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2BAF5A1F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 преподаватель кафедры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319" w:type="dxa"/>
          </w:tcPr>
          <w:p w14:paraId="012131B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17C831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8C56C1" w14:paraId="52528473" w14:textId="77777777" w:rsidTr="009241DF">
        <w:trPr>
          <w:gridAfter w:val="1"/>
          <w:wAfter w:w="6" w:type="dxa"/>
          <w:trHeight w:val="44"/>
        </w:trPr>
        <w:tc>
          <w:tcPr>
            <w:tcW w:w="11963" w:type="dxa"/>
            <w:gridSpan w:val="24"/>
            <w:vMerge/>
          </w:tcPr>
          <w:p w14:paraId="15000E59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3321D5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4F12140A" w14:textId="77777777" w:rsidTr="009241DF">
        <w:trPr>
          <w:gridAfter w:val="1"/>
          <w:wAfter w:w="6" w:type="dxa"/>
          <w:trHeight w:val="425"/>
        </w:trPr>
        <w:tc>
          <w:tcPr>
            <w:tcW w:w="1196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8C56C1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9241DF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75B16547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C56C1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экон.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11CE9848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C56C1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57CD44F2" w14:textId="77777777" w:rsidTr="009241DF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07008766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p w14:paraId="78DADF63" w14:textId="77777777" w:rsidR="001101C3" w:rsidRPr="00927A89" w:rsidRDefault="001101C3">
            <w:pPr>
              <w:rPr>
                <w:sz w:val="28"/>
                <w:szCs w:val="28"/>
                <w:lang w:val="ru-RU"/>
              </w:rPr>
            </w:pPr>
          </w:p>
          <w:p w14:paraId="7FB8D33F" w14:textId="77777777" w:rsidR="001101C3" w:rsidRDefault="001101C3">
            <w:pPr>
              <w:rPr>
                <w:sz w:val="28"/>
                <w:szCs w:val="28"/>
                <w:lang w:val="ru-RU"/>
              </w:rPr>
            </w:pPr>
          </w:p>
          <w:p w14:paraId="708D0282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CA62158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3C5A315E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B24BB7D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7B398A2A" w14:textId="77777777" w:rsidR="00F912D1" w:rsidRPr="00927A89" w:rsidRDefault="00F912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C56C1" w14:paraId="002110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7672DA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7B448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1D55BF8E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C56C1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55821062" w:rsidR="00E908A4" w:rsidRPr="00C65076" w:rsidRDefault="0041147F" w:rsidP="00EA165E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EA165E" w:rsidRPr="00927A89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рассмотрена и одобрена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EA16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от 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318B75DC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C56C1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123DBFDE" w14:textId="77777777" w:rsidTr="009241DF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51FCEC4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</w:r>
      <w:r w:rsidR="00854C72" w:rsidRPr="00854C7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559E2AB" wp14:editId="245999A8">
            <wp:extent cx="533400" cy="2428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C72">
        <w:rPr>
          <w:sz w:val="28"/>
          <w:szCs w:val="28"/>
          <w:lang w:val="ru-RU"/>
        </w:rPr>
        <w:t xml:space="preserve">               </w:t>
      </w:r>
      <w:r w:rsidR="0041147F" w:rsidRPr="00927A89">
        <w:rPr>
          <w:sz w:val="28"/>
          <w:szCs w:val="28"/>
          <w:lang w:val="ru-RU"/>
        </w:rPr>
        <w:t>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8C56C1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C56C1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C56C1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C56C1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C56C1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8C56C1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8C56C1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8C56C1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E908A4" w:rsidRPr="008C56C1" w14:paraId="505014E2" w14:textId="77777777" w:rsidTr="004C5E43">
              <w:trPr>
                <w:trHeight w:val="2144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55407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77777777" w:rsidR="0055407E" w:rsidRPr="00927A89" w:rsidRDefault="0055407E" w:rsidP="0055407E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Учебная дисциплина ОП.03.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7F0611C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205F6B26" w14:textId="2BCA1D8E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развитие.</w:t>
                  </w:r>
                </w:p>
                <w:p w14:paraId="079E49D5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04. Работать в коллективе и команде, эффективно взаимодействовать с коллегами, руководством, клиентами.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3562B18B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2F7FF4A8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07. Содействовать сохранению окружающей среды, ресурсосбережению,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6706659C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09. Использовать информационные технологии в профессиональной деятельности.</w:t>
                  </w:r>
                </w:p>
                <w:p w14:paraId="7B74FC7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10. Пользоваться профессиональной документацией на государственном и иностранном языках.</w:t>
                  </w:r>
                </w:p>
                <w:p w14:paraId="52057509" w14:textId="77777777" w:rsidR="0055407E" w:rsidRPr="00B65690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353A9655" w14:textId="77777777" w:rsidR="0099382F" w:rsidRPr="0099382F" w:rsidRDefault="0099382F" w:rsidP="0099382F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152773A7" w14:textId="77777777" w:rsidR="004C5E43" w:rsidRPr="00927A89" w:rsidRDefault="004C5E43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В рамках программы учебной дисциплины обучающимися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Код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</w:p>
                    </w:tc>
                  </w:tr>
                  <w:tr w:rsidR="0055407E" w:rsidRPr="008C56C1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</w:p>
                    </w:tc>
                  </w:tr>
                  <w:tr w:rsidR="00B65690" w:rsidRPr="008C56C1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8C56C1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8C56C1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8C56C1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8C56C1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4D9718A4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8C56C1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8C56C1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55407E" w:rsidRPr="008C56C1" w14:paraId="620652A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776EC9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85F15C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2D4351C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C64128" w:rsidRPr="008C56C1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7262788F" w:rsidR="00C64128" w:rsidRPr="00C64128" w:rsidRDefault="00C64128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ОК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55407E" w:rsidRPr="008C56C1" w14:paraId="0B747BD3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9CD41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6804107" w14:textId="7608C049" w:rsidR="0055407E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использовать знания по финансовой грамотности, </w:t>
                        </w:r>
                        <w:r w:rsidR="0055407E"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14B93D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0BC2CE9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8EBC0B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4C5E43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8C56C1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C5E43" w:rsidRPr="00927A89" w14:paraId="7AA85226" w14:textId="77777777" w:rsidTr="00ED7E7A">
              <w:trPr>
                <w:trHeight w:val="708"/>
              </w:trPr>
              <w:tc>
                <w:tcPr>
                  <w:tcW w:w="4073" w:type="pct"/>
                </w:tcPr>
                <w:p w14:paraId="37567651" w14:textId="75CFEE97" w:rsidR="004C5E43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B536E4">
                    <w:rPr>
                      <w:b/>
                      <w:sz w:val="28"/>
                      <w:szCs w:val="28"/>
                    </w:rPr>
                    <w:t>Объем образовательной программы</w:t>
                  </w:r>
                </w:p>
              </w:tc>
              <w:tc>
                <w:tcPr>
                  <w:tcW w:w="927" w:type="pct"/>
                </w:tcPr>
                <w:p w14:paraId="0B05DAD2" w14:textId="517020F1" w:rsidR="004C5E43" w:rsidRPr="00927A89" w:rsidRDefault="004C5E43" w:rsidP="004C5E43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106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21E7C162" w:rsidR="00D41E7B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>Объем работы обучающихся во взаимодействии с преподавателем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55AC8F12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92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2BDB6070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73832173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4C5E43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377EB66C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8C56C1" w14:paraId="79E57B26" w14:textId="77777777" w:rsidTr="004C5E43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4C5E43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C5E43" w:rsidRPr="00927A89" w14:paraId="799AF176" w14:textId="77777777" w:rsidTr="004C5E43">
        <w:trPr>
          <w:trHeight w:val="20"/>
        </w:trPr>
        <w:tc>
          <w:tcPr>
            <w:tcW w:w="3651" w:type="pct"/>
            <w:gridSpan w:val="2"/>
          </w:tcPr>
          <w:p w14:paraId="6493FDEE" w14:textId="3EA8DE96" w:rsidR="004C5E43" w:rsidRPr="00927A89" w:rsidRDefault="004C5E43" w:rsidP="004C5E43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 1. Основы бухгалтерского учёта</w:t>
            </w:r>
          </w:p>
        </w:tc>
        <w:tc>
          <w:tcPr>
            <w:tcW w:w="729" w:type="pct"/>
          </w:tcPr>
          <w:p w14:paraId="1C817C4A" w14:textId="77777777" w:rsidR="004C5E43" w:rsidRPr="00927A89" w:rsidRDefault="004C5E43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4C5E43" w:rsidRPr="00927A89" w:rsidRDefault="004C5E4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4C5E43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8C56C1" w14:paraId="4E7F344C" w14:textId="77777777" w:rsidTr="004C5E43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средств предприятий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8C56C1" w14:paraId="7A8F3D5F" w14:textId="77777777" w:rsidTr="004C5E43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Метод бухгалтерского учёта. 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8C56C1" w14:paraId="4850D8DE" w14:textId="77777777" w:rsidTr="004C5E43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4C5E43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4C5E43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 баланс</w:t>
            </w:r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8C56C1" w14:paraId="2A9F6A56" w14:textId="77777777" w:rsidTr="004C5E43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21725649" w14:textId="77777777" w:rsidTr="004C5E43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4C5E43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4C5E43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r w:rsidRPr="00927A89">
              <w:rPr>
                <w:rFonts w:eastAsia="Calibri"/>
                <w:bCs/>
                <w:sz w:val="28"/>
                <w:szCs w:val="28"/>
              </w:rPr>
              <w:t>Составление баланса»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4C5E43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5DD3180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4C5E43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r w:rsidRPr="00927A89">
              <w:rPr>
                <w:rFonts w:eastAsia="Calibri"/>
                <w:bCs/>
                <w:sz w:val="28"/>
                <w:szCs w:val="28"/>
              </w:rPr>
              <w:t>Порядок записи операций на активных и пассивных счетах</w:t>
            </w:r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4C5E43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r w:rsidRPr="00927A89">
              <w:rPr>
                <w:rFonts w:eastAsia="Calibri"/>
                <w:bCs/>
                <w:sz w:val="28"/>
                <w:szCs w:val="28"/>
              </w:rPr>
              <w:t>Счета синтетического и аналитического учёта</w:t>
            </w:r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4C5E43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Оборотные ведомости по счетам</w:t>
            </w:r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4C5E43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r w:rsidRPr="00927A89">
              <w:rPr>
                <w:rFonts w:eastAsia="Calibri"/>
                <w:bCs/>
                <w:sz w:val="28"/>
                <w:szCs w:val="28"/>
              </w:rPr>
              <w:t>Понятие и содержание рабочего плана счетов организации</w:t>
            </w:r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2602A557" w14:textId="77777777" w:rsidTr="004C5E43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4C5E43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4C5E43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4C5E43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 бухгалтерского учёта</w:t>
            </w:r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4C5E43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 регулирование бухгалтерского учёта в России</w:t>
            </w:r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4C5E43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аппарат, его структура и функции. Учётная политика организации</w:t>
            </w:r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4C5E43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Понятие о документообороте в бухгалтерском учёте</w:t>
            </w:r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4955D792" w14:textId="77777777" w:rsidTr="004C5E43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4C5E43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4C5E43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4C5E43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4C5E43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 2. Финансовый учёт</w:t>
            </w:r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4C5E43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8C56C1" w14:paraId="0B7D0881" w14:textId="77777777" w:rsidTr="004C5E43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189D31B9" w14:textId="77777777" w:rsidTr="004C5E43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56B26F17" w14:textId="77777777" w:rsidTr="004C5E43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4C5E43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4C5E43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4C5E43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4C5E43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4C5E43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8C56C1" w14:paraId="58C9D9DC" w14:textId="77777777" w:rsidTr="004C5E43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5806C0C2" w14:textId="77777777" w:rsidTr="004C5E43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0E79FA45" w14:textId="77777777" w:rsidTr="004C5E43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3D9919C2" w14:textId="77777777" w:rsidTr="004C5E43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8C56C1" w14:paraId="3582AB10" w14:textId="77777777" w:rsidTr="004C5E43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4C5E43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4C5E43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4C5E43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4C5E43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41DF" w14:paraId="3FDE2415" w14:textId="77777777" w:rsidTr="004C5E43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4C5E43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Виды нематериальных активов, не подлежащих амортизации</w:t>
            </w:r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05FBCCD9" w14:textId="77777777" w:rsidTr="004C5E43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8D224DB" w14:textId="77777777" w:rsidTr="004C5E43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14FF57F4" w14:textId="77777777" w:rsidTr="004C5E43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6564F9DB" w14:textId="77777777" w:rsidTr="004C5E43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4C5E43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4C5E43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4C5E43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4C5E43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4C5E43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43BCF4C6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4C5E43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Оценка материальных ценностей</w:t>
            </w:r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18DEF36D" w14:textId="77777777" w:rsidTr="004C5E43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4C5E43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поставщиками</w:t>
            </w:r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7AAB05D1" w14:textId="77777777" w:rsidTr="004C5E43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507D8B0D" w14:textId="77777777" w:rsidTr="004C5E43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4C5E43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4C5E43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4C5E43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4C5E43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4C5E43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Методы учёта затрат и калькулирования себестоимости</w:t>
            </w:r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4C5E43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 остатков незавершённого производства</w:t>
            </w:r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4A05797E" w14:textId="77777777" w:rsidTr="004C5E43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1ACEF2FD" w14:textId="77777777" w:rsidTr="004C5E43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64D27B68" w14:textId="77777777" w:rsidTr="004C5E43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7397E4A0" w14:textId="77777777" w:rsidTr="004C5E43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4C5E43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4C5E43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4C5E43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4C5E43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3E98267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готовой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41DF" w14:paraId="30178511" w14:textId="77777777" w:rsidTr="004C5E43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CDEC924" w14:textId="77777777" w:rsidTr="004C5E43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4C5E43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отгруженной продукции</w:t>
            </w:r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4C5E43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покупателями и заказчиками</w:t>
            </w:r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4C5E43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4C5E43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4C5E43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4C5E43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4C5E43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1540B601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41DF" w14:paraId="4137B93E" w14:textId="77777777" w:rsidTr="004C5E43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4C5E43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бюджетом по налогу на прибыль</w:t>
            </w:r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6C38B3C1" w14:textId="77777777" w:rsidTr="004C5E43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4C5E43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4C5E43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4C5E43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4C5E43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8C56C1" w14:paraId="49199730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Бухгалтерская отчётность</w:t>
            </w:r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4C5E43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Сроки предоставления бухгалтерской отчётности</w:t>
            </w:r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4C5E43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57D3A40D" w14:textId="77777777" w:rsidTr="004C5E43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4C5E43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4C5E43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4C5E43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 сравнительный анализ бухгалтерской отчётности действующих предприятий; подготовка к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4C5E43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9" w:type="pct"/>
          </w:tcPr>
          <w:p w14:paraId="16F051DA" w14:textId="3778AE51" w:rsidR="00D41E7B" w:rsidRPr="004C5E43" w:rsidRDefault="004C5E43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4C5E43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29" w:type="pct"/>
          </w:tcPr>
          <w:p w14:paraId="5058041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9241DF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9241DF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524811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Агеева, О. А.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 : учебник и практикум для среднего профессионального образования / О. А. Агеева. — Москва : Издательство Юрайт, 2021. — 273 с. — (Профессиональное образование). — ISBN 978-5-534-08720-8. — Текст : электронный // Образовательная платформа Юрайт [сайт]. — URL: </w:t>
                        </w:r>
                        <w:hyperlink r:id="rId14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https://urait.ru/bcode/471338</w:t>
                          </w:r>
                        </w:hyperlink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</w:t>
                        </w:r>
                        <w:r w:rsidRPr="00B35A1B">
                          <w:t xml:space="preserve"> </w:t>
                        </w:r>
                      </w:p>
                      <w:p w14:paraId="24A39835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2025. — 287 с. — (Профессиональное образование). — ISBN 978-5-534-21517-5. — Текст : электронный // Образовательная платформа Юрайт [сайт]. — URL: </w:t>
                        </w:r>
                        <w:hyperlink r:id="rId15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  <w:r w:rsidRPr="00B35A1B">
                          <w:t xml:space="preserve"> </w:t>
                        </w:r>
                      </w:p>
                      <w:p w14:paraId="3312EF8A" w14:textId="77777777" w:rsidR="00A4378F" w:rsidRPr="00B35A1B" w:rsidRDefault="00A4378F" w:rsidP="00A4378F">
                        <w:pPr>
                          <w:pStyle w:val="a8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Лупикова, Е. В.  Бухгалтерский учет. Теория бухгалтерского учета : учебное пособие для среднего профессионального образования / Е. В. Лупикова. — 3-е изд., перераб. и доп. — Москва : Издательство Юрайт, 2023. — 244 с. — (Профессиональное образование). — ISBN 978-5-9916-8995-3. — Текст : электронный // Образовательная платформа Юрайт [сайт]. — URL: https://urait.ru/bcode/513294</w:t>
                        </w:r>
                      </w:p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67AB49EB" w14:textId="2DF0C85A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5. 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273441E8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9241DF" w14:paraId="4BEFDC18" w14:textId="77777777" w:rsidTr="00FE67CD">
        <w:trPr>
          <w:trHeight w:val="285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>3.2.2. Электронные издания (электронные ресурсы)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minfin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>/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glavbukh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 xml:space="preserve">3. Справочно-правовая система «КонсультантПлюс».-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8C56C1" w14:paraId="0D6DE6F9" w14:textId="77777777" w:rsidTr="00ED7E7A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176EFB" w:rsidRDefault="00176EFB" w:rsidP="00176EFB">
            <w:pPr>
              <w:spacing w:line="25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9241DF" w14:paraId="585BC5CE" w14:textId="77777777" w:rsidTr="00ED7E7A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9241DF" w14:paraId="56D7DBB5" w14:textId="77777777" w:rsidTr="00ED7E7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176EFB" w:rsidRDefault="00176EFB" w:rsidP="00176EFB">
                        <w:pPr>
                          <w:spacing w:line="256" w:lineRule="auto"/>
                          <w:jc w:val="center"/>
                          <w:rPr>
                            <w:lang w:val="ru-RU"/>
                          </w:rPr>
                        </w:pPr>
                        <w:r w:rsidRPr="00176EFB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4</w:t>
                        </w:r>
                        <w:r w:rsidRPr="004C5E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176EFB" w:rsidRDefault="00176EFB" w:rsidP="00176EFB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176EFB" w:rsidRPr="009241DF" w14:paraId="41799EA2" w14:textId="77777777" w:rsidTr="00ED7E7A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8C56C1" w14:paraId="357C55A2" w14:textId="77777777" w:rsidTr="00ED7E7A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9241DF" w14:paraId="73D5D346" w14:textId="77777777" w:rsidTr="00ED7E7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обучения(освоенные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8C56C1" w14:paraId="205D0B77" w14:textId="77777777" w:rsidTr="00ED7E7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5B714AEE" w14:textId="77777777" w:rsidTr="004C5E43">
                    <w:trPr>
                      <w:trHeight w:val="64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3D2089C3" w14:textId="77777777" w:rsidTr="00ED7E7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03. Планировать и реализовывать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3E1995E6" w14:textId="77777777" w:rsidTr="00ED7E7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ОК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0FDD7EAC" w14:textId="77777777" w:rsidTr="00ED7E7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00363401" w14:textId="77777777" w:rsidTr="00ED7E7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21536CA6" w14:textId="77777777" w:rsidTr="00ED7E7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52D0E229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7A53A76F" w14:textId="77777777" w:rsidTr="00ED7E7A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812D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0B2528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74151A8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8A76ED4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5DD772D8" w14:textId="77777777" w:rsidTr="00ED7E7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8C56C1" w14:paraId="4A6AA304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DA6F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DABA59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финансовую грамотности</w:t>
                        </w:r>
                      </w:p>
                      <w:p w14:paraId="6E2BF51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7678BC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79091450" w14:textId="77777777" w:rsidR="00176EFB" w:rsidRPr="00176EFB" w:rsidRDefault="00176EFB" w:rsidP="00176EFB">
            <w:pPr>
              <w:spacing w:line="256" w:lineRule="auto"/>
              <w:jc w:val="center"/>
              <w:rPr>
                <w:b/>
                <w:sz w:val="28"/>
                <w:lang w:val="ru-RU"/>
              </w:rPr>
            </w:pPr>
          </w:p>
          <w:p w14:paraId="4D92A26C" w14:textId="77777777" w:rsidR="00176EFB" w:rsidRPr="00176EFB" w:rsidRDefault="00176EFB" w:rsidP="004C5E43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8C56C1" w14:paraId="4DE26F91" w14:textId="77777777" w:rsidTr="00ED7E7A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8C56C1" w14:paraId="23AEA53B" w14:textId="77777777" w:rsidTr="00ED7E7A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28F1C0D" w14:textId="77777777" w:rsidR="00A07AFC" w:rsidRPr="00927A89" w:rsidRDefault="00A07AFC" w:rsidP="004C5E43">
      <w:pPr>
        <w:rPr>
          <w:sz w:val="28"/>
          <w:szCs w:val="28"/>
          <w:lang w:val="ru-RU"/>
        </w:rPr>
      </w:pPr>
    </w:p>
    <w:sectPr w:rsidR="00A07AFC" w:rsidRPr="00927A89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0863" w14:textId="77777777" w:rsidR="004520E5" w:rsidRDefault="004520E5">
      <w:r>
        <w:separator/>
      </w:r>
    </w:p>
  </w:endnote>
  <w:endnote w:type="continuationSeparator" w:id="0">
    <w:p w14:paraId="0856453C" w14:textId="77777777" w:rsidR="004520E5" w:rsidRDefault="0045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255D9E81" w14:textId="77777777">
      <w:tc>
        <w:tcPr>
          <w:tcW w:w="8796" w:type="dxa"/>
        </w:tcPr>
        <w:p w14:paraId="6FCD7B51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3900D7E0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7066732E" w14:textId="77777777" w:rsidR="00ED7E7A" w:rsidRDefault="00ED7E7A">
          <w:pPr>
            <w:pStyle w:val="EmptyLayoutCell"/>
          </w:pPr>
        </w:p>
      </w:tc>
    </w:tr>
    <w:tr w:rsidR="00ED7E7A" w14:paraId="26B69674" w14:textId="77777777">
      <w:tc>
        <w:tcPr>
          <w:tcW w:w="8796" w:type="dxa"/>
        </w:tcPr>
        <w:p w14:paraId="139678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ED7E7A" w:rsidRDefault="00ED7E7A"/>
            </w:tc>
          </w:tr>
        </w:tbl>
        <w:p w14:paraId="11C237B1" w14:textId="77777777" w:rsidR="00ED7E7A" w:rsidRDefault="00ED7E7A"/>
      </w:tc>
      <w:tc>
        <w:tcPr>
          <w:tcW w:w="132" w:type="dxa"/>
        </w:tcPr>
        <w:p w14:paraId="62DF2C62" w14:textId="77777777" w:rsidR="00ED7E7A" w:rsidRDefault="00ED7E7A">
          <w:pPr>
            <w:pStyle w:val="EmptyLayoutCell"/>
          </w:pPr>
        </w:p>
      </w:tc>
    </w:tr>
  </w:tbl>
  <w:p w14:paraId="45B6945E" w14:textId="77777777" w:rsidR="00ED7E7A" w:rsidRDefault="00ED7E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432D4358" w14:textId="77777777">
      <w:tc>
        <w:tcPr>
          <w:tcW w:w="8796" w:type="dxa"/>
        </w:tcPr>
        <w:p w14:paraId="64CC3C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0A46AFB8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54CFCE61" w14:textId="77777777" w:rsidR="00ED7E7A" w:rsidRDefault="00ED7E7A">
          <w:pPr>
            <w:pStyle w:val="EmptyLayoutCell"/>
          </w:pPr>
        </w:p>
      </w:tc>
    </w:tr>
    <w:tr w:rsidR="00ED7E7A" w14:paraId="5D631A40" w14:textId="77777777">
      <w:tc>
        <w:tcPr>
          <w:tcW w:w="8796" w:type="dxa"/>
        </w:tcPr>
        <w:p w14:paraId="3A7D5438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ED7E7A" w:rsidRDefault="00ED7E7A"/>
            </w:tc>
          </w:tr>
        </w:tbl>
        <w:p w14:paraId="42CA35A7" w14:textId="77777777" w:rsidR="00ED7E7A" w:rsidRDefault="00ED7E7A"/>
      </w:tc>
      <w:tc>
        <w:tcPr>
          <w:tcW w:w="132" w:type="dxa"/>
        </w:tcPr>
        <w:p w14:paraId="62792A92" w14:textId="77777777" w:rsidR="00ED7E7A" w:rsidRDefault="00ED7E7A">
          <w:pPr>
            <w:pStyle w:val="EmptyLayoutCell"/>
          </w:pPr>
        </w:p>
      </w:tc>
    </w:tr>
  </w:tbl>
  <w:p w14:paraId="3DF2E2B7" w14:textId="77777777" w:rsidR="00ED7E7A" w:rsidRDefault="00ED7E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73CA" w14:textId="77777777" w:rsidR="004520E5" w:rsidRDefault="004520E5">
      <w:r>
        <w:separator/>
      </w:r>
    </w:p>
  </w:footnote>
  <w:footnote w:type="continuationSeparator" w:id="0">
    <w:p w14:paraId="4D2366C2" w14:textId="77777777" w:rsidR="004520E5" w:rsidRDefault="0045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520E5"/>
    <w:rsid w:val="00465DD9"/>
    <w:rsid w:val="00465EE5"/>
    <w:rsid w:val="00485A86"/>
    <w:rsid w:val="004B4707"/>
    <w:rsid w:val="004C5E43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832453"/>
    <w:rsid w:val="00833774"/>
    <w:rsid w:val="00842CC8"/>
    <w:rsid w:val="00854C72"/>
    <w:rsid w:val="00857EB1"/>
    <w:rsid w:val="008745A3"/>
    <w:rsid w:val="00896995"/>
    <w:rsid w:val="008C56C1"/>
    <w:rsid w:val="008E6BA6"/>
    <w:rsid w:val="009241DF"/>
    <w:rsid w:val="00927A89"/>
    <w:rsid w:val="00961CAA"/>
    <w:rsid w:val="00974B4E"/>
    <w:rsid w:val="0098449C"/>
    <w:rsid w:val="009858FB"/>
    <w:rsid w:val="00986AE3"/>
    <w:rsid w:val="00992143"/>
    <w:rsid w:val="0099382F"/>
    <w:rsid w:val="009B79E7"/>
    <w:rsid w:val="009C755F"/>
    <w:rsid w:val="00A07AFC"/>
    <w:rsid w:val="00A4378F"/>
    <w:rsid w:val="00A9017E"/>
    <w:rsid w:val="00AA2E40"/>
    <w:rsid w:val="00AC7BDC"/>
    <w:rsid w:val="00AD2B33"/>
    <w:rsid w:val="00B05F01"/>
    <w:rsid w:val="00B30F97"/>
    <w:rsid w:val="00B4299B"/>
    <w:rsid w:val="00B65690"/>
    <w:rsid w:val="00B673B6"/>
    <w:rsid w:val="00C050D6"/>
    <w:rsid w:val="00C64128"/>
    <w:rsid w:val="00C65076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761A0"/>
    <w:rsid w:val="00E908A4"/>
    <w:rsid w:val="00E96DB4"/>
    <w:rsid w:val="00EA05E4"/>
    <w:rsid w:val="00EA165E"/>
    <w:rsid w:val="00EA1ACD"/>
    <w:rsid w:val="00EA7CE7"/>
    <w:rsid w:val="00ED7E7A"/>
    <w:rsid w:val="00EE0CAE"/>
    <w:rsid w:val="00EF2DCE"/>
    <w:rsid w:val="00F30E30"/>
    <w:rsid w:val="00F912D1"/>
    <w:rsid w:val="00F95361"/>
    <w:rsid w:val="00FB188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501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9FDBB-4D0D-49F7-98E9-0083D117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22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63</cp:revision>
  <cp:lastPrinted>2022-06-10T02:33:00Z</cp:lastPrinted>
  <dcterms:created xsi:type="dcterms:W3CDTF">2019-12-08T06:09:00Z</dcterms:created>
  <dcterms:modified xsi:type="dcterms:W3CDTF">2025-11-20T05:10:00Z</dcterms:modified>
</cp:coreProperties>
</file>